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1549400</wp:posOffset>
            </wp:positionH>
            <wp:positionV relativeFrom="page">
              <wp:posOffset>452755</wp:posOffset>
            </wp:positionV>
            <wp:extent cx="4470400" cy="10528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470400" cy="10528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4" w:lineRule="exact"/>
        <w:rPr>
          <w:sz w:val="24"/>
          <w:szCs w:val="24"/>
          <w:color w:val="auto"/>
        </w:rPr>
      </w:pPr>
    </w:p>
    <w:p>
      <w:pPr>
        <w:jc w:val="center"/>
        <w:spacing w:after="0"/>
        <w:rPr>
          <w:sz w:val="20"/>
          <w:szCs w:val="20"/>
          <w:color w:val="auto"/>
        </w:rPr>
      </w:pPr>
      <w:r>
        <w:rPr>
          <w:rFonts w:ascii="Cambria" w:cs="Cambria" w:eastAsia="Cambria" w:hAnsi="Cambria"/>
          <w:sz w:val="23"/>
          <w:szCs w:val="23"/>
          <w:b w:val="1"/>
          <w:bCs w:val="1"/>
          <w:color w:val="auto"/>
        </w:rPr>
        <w:t xml:space="preserve">Protocole collectif d’édition pour </w:t>
      </w:r>
      <w:r>
        <w:rPr>
          <w:rFonts w:ascii="Cambria" w:cs="Cambria" w:eastAsia="Cambria" w:hAnsi="Cambria"/>
          <w:sz w:val="23"/>
          <w:szCs w:val="23"/>
          <w:b w:val="1"/>
          <w:bCs w:val="1"/>
          <w:i w:val="1"/>
          <w:iCs w:val="1"/>
          <w:color w:val="auto"/>
        </w:rPr>
        <w:t>Le discours et la langue</w:t>
      </w:r>
    </w:p>
    <w:p>
      <w:pPr>
        <w:spacing w:after="0" w:line="200" w:lineRule="exact"/>
        <w:rPr>
          <w:sz w:val="24"/>
          <w:szCs w:val="24"/>
          <w:color w:val="auto"/>
        </w:rPr>
      </w:pPr>
    </w:p>
    <w:p>
      <w:pPr>
        <w:spacing w:after="0" w:line="353" w:lineRule="exact"/>
        <w:rPr>
          <w:sz w:val="24"/>
          <w:szCs w:val="24"/>
          <w:color w:val="auto"/>
        </w:rPr>
      </w:pPr>
    </w:p>
    <w:p>
      <w:pPr>
        <w:spacing w:after="0"/>
        <w:rPr>
          <w:sz w:val="20"/>
          <w:szCs w:val="20"/>
          <w:color w:val="auto"/>
        </w:rPr>
      </w:pPr>
      <w:r>
        <w:rPr>
          <w:rFonts w:ascii="Cambria" w:cs="Cambria" w:eastAsia="Cambria" w:hAnsi="Cambria"/>
          <w:sz w:val="24"/>
          <w:szCs w:val="24"/>
          <w:color w:val="auto"/>
        </w:rPr>
        <w:t>1) Le coordinateur du numéro</w:t>
      </w:r>
    </w:p>
    <w:p>
      <w:pPr>
        <w:sectPr>
          <w:pgSz w:w="11900" w:h="16840" w:orient="portrait"/>
          <w:cols w:equalWidth="0" w:num="1">
            <w:col w:w="9080"/>
          </w:cols>
          <w:pgMar w:left="1420" w:top="1440" w:right="1400" w:bottom="971" w:gutter="0" w:footer="0" w:header="0"/>
        </w:sectPr>
      </w:pPr>
    </w:p>
    <w:p>
      <w:pPr>
        <w:spacing w:after="0" w:line="160" w:lineRule="exact"/>
        <w:rPr>
          <w:sz w:val="24"/>
          <w:szCs w:val="24"/>
          <w:color w:val="auto"/>
        </w:rPr>
      </w:pPr>
    </w:p>
    <w:p>
      <w:pPr>
        <w:ind w:left="360"/>
        <w:spacing w:after="0"/>
        <w:rPr>
          <w:sz w:val="20"/>
          <w:szCs w:val="20"/>
          <w:color w:val="auto"/>
        </w:rPr>
      </w:pPr>
      <w:r>
        <w:rPr>
          <w:rFonts w:ascii="Cambria" w:cs="Cambria" w:eastAsia="Cambria" w:hAnsi="Cambria"/>
          <w:sz w:val="7"/>
          <w:szCs w:val="7"/>
          <w:color w:val="auto"/>
        </w:rPr>
        <w:t>-­‐</w:t>
      </w:r>
    </w:p>
    <w:p>
      <w:pPr>
        <w:spacing w:after="0" w:line="200" w:lineRule="exact"/>
        <w:rPr>
          <w:sz w:val="24"/>
          <w:szCs w:val="24"/>
          <w:color w:val="auto"/>
        </w:rPr>
      </w:pPr>
    </w:p>
    <w:p>
      <w:pPr>
        <w:spacing w:after="0" w:line="284" w:lineRule="exact"/>
        <w:rPr>
          <w:sz w:val="24"/>
          <w:szCs w:val="24"/>
          <w:color w:val="auto"/>
        </w:rPr>
      </w:pPr>
    </w:p>
    <w:p>
      <w:pPr>
        <w:ind w:left="360"/>
        <w:spacing w:after="0"/>
        <w:rPr>
          <w:sz w:val="20"/>
          <w:szCs w:val="20"/>
          <w:color w:val="auto"/>
        </w:rPr>
      </w:pPr>
      <w:r>
        <w:rPr>
          <w:rFonts w:ascii="Cambria" w:cs="Cambria" w:eastAsia="Cambria" w:hAnsi="Cambria"/>
          <w:sz w:val="7"/>
          <w:szCs w:val="7"/>
          <w:color w:val="auto"/>
        </w:rPr>
        <w:t>-­‐</w:t>
      </w:r>
    </w:p>
    <w:p>
      <w:pPr>
        <w:spacing w:after="0" w:line="200" w:lineRule="exact"/>
        <w:rPr>
          <w:sz w:val="24"/>
          <w:szCs w:val="24"/>
          <w:color w:val="auto"/>
        </w:rPr>
      </w:pPr>
    </w:p>
    <w:p>
      <w:pPr>
        <w:spacing w:after="0" w:line="280" w:lineRule="exact"/>
        <w:rPr>
          <w:sz w:val="24"/>
          <w:szCs w:val="24"/>
          <w:color w:val="auto"/>
        </w:rPr>
      </w:pPr>
    </w:p>
    <w:p>
      <w:pPr>
        <w:ind w:left="360"/>
        <w:spacing w:after="0"/>
        <w:rPr>
          <w:sz w:val="20"/>
          <w:szCs w:val="20"/>
          <w:color w:val="auto"/>
        </w:rPr>
      </w:pPr>
      <w:r>
        <w:rPr>
          <w:rFonts w:ascii="Cambria" w:cs="Cambria" w:eastAsia="Cambria" w:hAnsi="Cambria"/>
          <w:sz w:val="7"/>
          <w:szCs w:val="7"/>
          <w:color w:val="auto"/>
        </w:rPr>
        <w:t>-­‐</w:t>
      </w:r>
    </w:p>
    <w:p>
      <w:pPr>
        <w:spacing w:after="0" w:line="201" w:lineRule="exact"/>
        <w:rPr>
          <w:sz w:val="24"/>
          <w:szCs w:val="24"/>
          <w:color w:val="auto"/>
        </w:rPr>
      </w:pPr>
    </w:p>
    <w:p>
      <w:pPr>
        <w:ind w:left="360"/>
        <w:spacing w:after="0"/>
        <w:rPr>
          <w:sz w:val="20"/>
          <w:szCs w:val="20"/>
          <w:color w:val="auto"/>
        </w:rPr>
      </w:pPr>
      <w:r>
        <w:rPr>
          <w:rFonts w:ascii="Cambria" w:cs="Cambria" w:eastAsia="Cambria" w:hAnsi="Cambria"/>
          <w:sz w:val="7"/>
          <w:szCs w:val="7"/>
          <w:color w:val="auto"/>
        </w:rPr>
        <w:t>-­‐</w:t>
      </w:r>
    </w:p>
    <w:p>
      <w:pPr>
        <w:spacing w:after="0" w:line="196" w:lineRule="exact"/>
        <w:rPr>
          <w:sz w:val="24"/>
          <w:szCs w:val="24"/>
          <w:color w:val="auto"/>
        </w:rPr>
      </w:pPr>
    </w:p>
    <w:p>
      <w:pPr>
        <w:ind w:left="360"/>
        <w:spacing w:after="0"/>
        <w:rPr>
          <w:sz w:val="20"/>
          <w:szCs w:val="20"/>
          <w:color w:val="auto"/>
        </w:rPr>
      </w:pPr>
      <w:r>
        <w:rPr>
          <w:rFonts w:ascii="Cambria" w:cs="Cambria" w:eastAsia="Cambria" w:hAnsi="Cambria"/>
          <w:sz w:val="7"/>
          <w:szCs w:val="7"/>
          <w:color w:val="auto"/>
        </w:rPr>
        <w:t>-­‐</w:t>
      </w:r>
    </w:p>
    <w:p>
      <w:pPr>
        <w:spacing w:after="0" w:line="20" w:lineRule="exact"/>
        <w:rPr>
          <w:sz w:val="24"/>
          <w:szCs w:val="24"/>
          <w:color w:val="auto"/>
        </w:rPr>
      </w:pPr>
      <w:r>
        <w:rPr>
          <w:sz w:val="24"/>
          <w:szCs w:val="24"/>
          <w:color w:val="auto"/>
        </w:rPr>
        <w:br w:type="column"/>
      </w:r>
    </w:p>
    <w:p>
      <w:pPr>
        <w:spacing w:after="0" w:line="97" w:lineRule="exact"/>
        <w:rPr>
          <w:sz w:val="24"/>
          <w:szCs w:val="24"/>
          <w:color w:val="auto"/>
        </w:rPr>
      </w:pPr>
    </w:p>
    <w:p>
      <w:pPr>
        <w:spacing w:after="0"/>
        <w:rPr>
          <w:sz w:val="20"/>
          <w:szCs w:val="20"/>
          <w:color w:val="auto"/>
        </w:rPr>
      </w:pPr>
      <w:r>
        <w:rPr>
          <w:rFonts w:ascii="Cambria" w:cs="Cambria" w:eastAsia="Cambria" w:hAnsi="Cambria"/>
          <w:sz w:val="24"/>
          <w:szCs w:val="24"/>
          <w:color w:val="auto"/>
        </w:rPr>
        <w:t>Contacte les auteurs, rassemble, soumet à un comité de lecture les articles. Le</w:t>
      </w:r>
    </w:p>
    <w:p>
      <w:pPr>
        <w:spacing w:after="0" w:line="2" w:lineRule="exact"/>
        <w:rPr>
          <w:sz w:val="24"/>
          <w:szCs w:val="24"/>
          <w:color w:val="auto"/>
        </w:rPr>
      </w:pPr>
    </w:p>
    <w:p>
      <w:pPr>
        <w:spacing w:after="0"/>
        <w:rPr>
          <w:sz w:val="20"/>
          <w:szCs w:val="20"/>
          <w:color w:val="auto"/>
        </w:rPr>
      </w:pPr>
      <w:r>
        <w:rPr>
          <w:rFonts w:ascii="Cambria" w:cs="Cambria" w:eastAsia="Cambria" w:hAnsi="Cambria"/>
          <w:sz w:val="24"/>
          <w:szCs w:val="24"/>
          <w:color w:val="auto"/>
        </w:rPr>
        <w:t>comité de lecture est décidé en collaboration avec l’éditeur scientifique</w:t>
      </w:r>
      <w:r>
        <w:rPr>
          <w:rFonts w:ascii="Cambria" w:cs="Cambria" w:eastAsia="Cambria" w:hAnsi="Cambria"/>
          <w:sz w:val="15"/>
          <w:szCs w:val="15"/>
          <w:color w:val="auto"/>
        </w:rPr>
        <w:t>1</w:t>
      </w:r>
      <w:r>
        <w:rPr>
          <w:rFonts w:ascii="Cambria" w:cs="Cambria" w:eastAsia="Cambria" w:hAnsi="Cambria"/>
          <w:sz w:val="24"/>
          <w:szCs w:val="24"/>
          <w:color w:val="auto"/>
        </w:rPr>
        <w:t>.</w:t>
      </w:r>
    </w:p>
    <w:p>
      <w:pPr>
        <w:spacing w:after="0" w:line="2" w:lineRule="exact"/>
        <w:rPr>
          <w:sz w:val="24"/>
          <w:szCs w:val="24"/>
          <w:color w:val="auto"/>
        </w:rPr>
      </w:pPr>
    </w:p>
    <w:p>
      <w:pPr>
        <w:spacing w:after="0"/>
        <w:rPr>
          <w:sz w:val="20"/>
          <w:szCs w:val="20"/>
          <w:color w:val="auto"/>
        </w:rPr>
      </w:pPr>
      <w:r>
        <w:rPr>
          <w:rFonts w:ascii="Cambria" w:cs="Cambria" w:eastAsia="Cambria" w:hAnsi="Cambria"/>
          <w:sz w:val="24"/>
          <w:szCs w:val="24"/>
          <w:color w:val="auto"/>
        </w:rPr>
        <w:t>Il corrige leur manuscrit et construit l’ensemble en rédigeant une préface ou un</w:t>
      </w:r>
    </w:p>
    <w:p>
      <w:pPr>
        <w:spacing w:after="0" w:line="237" w:lineRule="auto"/>
        <w:rPr>
          <w:sz w:val="20"/>
          <w:szCs w:val="20"/>
          <w:color w:val="auto"/>
        </w:rPr>
      </w:pPr>
      <w:r>
        <w:rPr>
          <w:rFonts w:ascii="Cambria" w:cs="Cambria" w:eastAsia="Cambria" w:hAnsi="Cambria"/>
          <w:sz w:val="24"/>
          <w:szCs w:val="24"/>
          <w:color w:val="auto"/>
        </w:rPr>
        <w:t>avant-­‐propos.</w:t>
      </w:r>
    </w:p>
    <w:p>
      <w:pPr>
        <w:spacing w:after="0" w:line="2" w:lineRule="exact"/>
        <w:rPr>
          <w:sz w:val="24"/>
          <w:szCs w:val="24"/>
          <w:color w:val="auto"/>
        </w:rPr>
      </w:pPr>
    </w:p>
    <w:p>
      <w:pPr>
        <w:spacing w:after="0"/>
        <w:rPr>
          <w:sz w:val="20"/>
          <w:szCs w:val="20"/>
          <w:color w:val="auto"/>
        </w:rPr>
      </w:pPr>
      <w:r>
        <w:rPr>
          <w:rFonts w:ascii="Cambria" w:cs="Cambria" w:eastAsia="Cambria" w:hAnsi="Cambria"/>
          <w:sz w:val="24"/>
          <w:szCs w:val="24"/>
          <w:color w:val="auto"/>
        </w:rPr>
        <w:t>Il fait appliquer la feuille de style de la revue.</w:t>
      </w:r>
    </w:p>
    <w:p>
      <w:pPr>
        <w:spacing w:after="0" w:line="2" w:lineRule="exact"/>
        <w:rPr>
          <w:sz w:val="24"/>
          <w:szCs w:val="24"/>
          <w:color w:val="auto"/>
        </w:rPr>
      </w:pPr>
    </w:p>
    <w:p>
      <w:pPr>
        <w:spacing w:after="0"/>
        <w:rPr>
          <w:sz w:val="20"/>
          <w:szCs w:val="20"/>
          <w:color w:val="auto"/>
        </w:rPr>
      </w:pPr>
      <w:r>
        <w:rPr>
          <w:rFonts w:ascii="Cambria" w:cs="Cambria" w:eastAsia="Cambria" w:hAnsi="Cambria"/>
          <w:sz w:val="24"/>
          <w:szCs w:val="24"/>
          <w:color w:val="auto"/>
        </w:rPr>
        <w:t>Il s’assure qu’il n’y aura pas de corrections d’auteur sur les épreuves.</w:t>
      </w:r>
    </w:p>
    <w:p>
      <w:pPr>
        <w:spacing w:after="0" w:line="237" w:lineRule="auto"/>
        <w:rPr>
          <w:sz w:val="20"/>
          <w:szCs w:val="20"/>
          <w:color w:val="auto"/>
        </w:rPr>
      </w:pPr>
      <w:r>
        <w:rPr>
          <w:rFonts w:ascii="Cambria" w:cs="Cambria" w:eastAsia="Cambria" w:hAnsi="Cambria"/>
          <w:sz w:val="24"/>
          <w:szCs w:val="24"/>
          <w:color w:val="auto"/>
        </w:rPr>
        <w:t>Il signe le bon-­‐à-­‐tirer.</w:t>
      </w:r>
    </w:p>
    <w:p>
      <w:pPr>
        <w:spacing w:after="0" w:line="200" w:lineRule="exact"/>
        <w:rPr>
          <w:sz w:val="24"/>
          <w:szCs w:val="24"/>
          <w:color w:val="auto"/>
        </w:rPr>
      </w:pPr>
    </w:p>
    <w:p>
      <w:pPr>
        <w:sectPr>
          <w:pgSz w:w="11900" w:h="16840" w:orient="portrait"/>
          <w:cols w:equalWidth="0" w:num="2">
            <w:col w:w="440" w:space="280"/>
            <w:col w:w="8360"/>
          </w:cols>
          <w:pgMar w:left="1420" w:top="1440" w:right="1400" w:bottom="971" w:gutter="0" w:footer="0" w:header="0"/>
          <w:type w:val="continuous"/>
        </w:sectPr>
      </w:pPr>
    </w:p>
    <w:p>
      <w:pPr>
        <w:spacing w:after="0" w:line="300" w:lineRule="exact"/>
        <w:rPr>
          <w:sz w:val="24"/>
          <w:szCs w:val="24"/>
          <w:color w:val="auto"/>
        </w:rPr>
      </w:pPr>
    </w:p>
    <w:p>
      <w:pPr>
        <w:spacing w:after="0"/>
        <w:rPr>
          <w:sz w:val="20"/>
          <w:szCs w:val="20"/>
          <w:color w:val="auto"/>
        </w:rPr>
      </w:pPr>
      <w:r>
        <w:rPr>
          <w:rFonts w:ascii="Cambria" w:cs="Cambria" w:eastAsia="Cambria" w:hAnsi="Cambria"/>
          <w:sz w:val="24"/>
          <w:szCs w:val="24"/>
          <w:color w:val="auto"/>
        </w:rPr>
        <w:t>2) L’éditeur scientifique (</w:t>
      </w:r>
      <w:r>
        <w:rPr>
          <w:rFonts w:ascii="Cambria" w:cs="Cambria" w:eastAsia="Cambria" w:hAnsi="Cambria"/>
          <w:sz w:val="24"/>
          <w:szCs w:val="24"/>
          <w:i w:val="1"/>
          <w:iCs w:val="1"/>
          <w:color w:val="auto"/>
        </w:rPr>
        <w:t>editor</w:t>
      </w:r>
      <w:r>
        <w:rPr>
          <w:rFonts w:ascii="Cambria" w:cs="Cambria" w:eastAsia="Cambria" w:hAnsi="Cambria"/>
          <w:sz w:val="24"/>
          <w:szCs w:val="24"/>
          <w:color w:val="auto"/>
        </w:rPr>
        <w:t>) du numéro s’engage à relire le manuscrit pour s’assurer</w:t>
      </w:r>
    </w:p>
    <w:p>
      <w:pPr>
        <w:spacing w:after="0" w:line="65" w:lineRule="exact"/>
        <w:rPr>
          <w:sz w:val="24"/>
          <w:szCs w:val="24"/>
          <w:color w:val="auto"/>
        </w:rPr>
      </w:pPr>
    </w:p>
    <w:p>
      <w:pPr>
        <w:spacing w:after="0" w:line="228" w:lineRule="auto"/>
        <w:rPr>
          <w:sz w:val="20"/>
          <w:szCs w:val="20"/>
          <w:color w:val="auto"/>
        </w:rPr>
      </w:pPr>
      <w:r>
        <w:rPr>
          <w:rFonts w:ascii="Cambria" w:cs="Cambria" w:eastAsia="Cambria" w:hAnsi="Cambria"/>
          <w:sz w:val="24"/>
          <w:szCs w:val="24"/>
          <w:color w:val="auto"/>
        </w:rPr>
        <w:t>du respect des normes de la revue (ponctuation, typographie, bibliographie, citations, titraille). L’éditeur scientifique s’engage, en accord avec l’éditeur (</w:t>
      </w:r>
      <w:r>
        <w:rPr>
          <w:rFonts w:ascii="Cambria" w:cs="Cambria" w:eastAsia="Cambria" w:hAnsi="Cambria"/>
          <w:sz w:val="24"/>
          <w:szCs w:val="24"/>
          <w:i w:val="1"/>
          <w:iCs w:val="1"/>
          <w:color w:val="auto"/>
        </w:rPr>
        <w:t>publisher</w:t>
      </w:r>
      <w:r>
        <w:rPr>
          <w:rFonts w:ascii="Cambria" w:cs="Cambria" w:eastAsia="Cambria" w:hAnsi="Cambria"/>
          <w:sz w:val="24"/>
          <w:szCs w:val="24"/>
          <w:color w:val="auto"/>
        </w:rPr>
        <w:t>), à envoyer</w:t>
      </w:r>
    </w:p>
    <w:p>
      <w:pPr>
        <w:spacing w:after="0" w:line="226" w:lineRule="auto"/>
        <w:rPr>
          <w:sz w:val="20"/>
          <w:szCs w:val="20"/>
          <w:color w:val="auto"/>
        </w:rPr>
      </w:pPr>
      <w:r>
        <w:rPr>
          <w:rFonts w:ascii="Cambria" w:cs="Cambria" w:eastAsia="Cambria" w:hAnsi="Cambria"/>
          <w:sz w:val="24"/>
          <w:szCs w:val="24"/>
          <w:color w:val="auto"/>
        </w:rPr>
        <w:t>des numéros pour comptes rendus à la demande du coordinateur.</w:t>
      </w:r>
    </w:p>
    <w:p>
      <w:pPr>
        <w:spacing w:after="0" w:line="200" w:lineRule="exact"/>
        <w:rPr>
          <w:sz w:val="24"/>
          <w:szCs w:val="24"/>
          <w:color w:val="auto"/>
        </w:rPr>
      </w:pPr>
    </w:p>
    <w:p>
      <w:pPr>
        <w:spacing w:after="0" w:line="300" w:lineRule="exact"/>
        <w:rPr>
          <w:sz w:val="24"/>
          <w:szCs w:val="24"/>
          <w:color w:val="auto"/>
        </w:rPr>
      </w:pPr>
    </w:p>
    <w:p>
      <w:pPr>
        <w:jc w:val="both"/>
        <w:ind w:firstLine="6"/>
        <w:spacing w:after="0" w:line="250" w:lineRule="auto"/>
        <w:tabs>
          <w:tab w:leader="none" w:pos="344" w:val="left"/>
        </w:tabs>
        <w:numPr>
          <w:ilvl w:val="0"/>
          <w:numId w:val="1"/>
        </w:numPr>
        <w:rPr>
          <w:rFonts w:ascii="Cambria" w:cs="Cambria" w:eastAsia="Cambria" w:hAnsi="Cambria"/>
          <w:sz w:val="24"/>
          <w:szCs w:val="24"/>
          <w:color w:val="auto"/>
        </w:rPr>
      </w:pPr>
      <w:r>
        <w:rPr>
          <w:rFonts w:ascii="Cambria" w:cs="Cambria" w:eastAsia="Cambria" w:hAnsi="Cambria"/>
          <w:sz w:val="24"/>
          <w:szCs w:val="24"/>
          <w:color w:val="auto"/>
        </w:rPr>
        <w:t>L’éditeur (</w:t>
      </w:r>
      <w:r>
        <w:rPr>
          <w:rFonts w:ascii="Cambria" w:cs="Cambria" w:eastAsia="Cambria" w:hAnsi="Cambria"/>
          <w:sz w:val="24"/>
          <w:szCs w:val="24"/>
          <w:i w:val="1"/>
          <w:iCs w:val="1"/>
          <w:color w:val="auto"/>
        </w:rPr>
        <w:t>publisher</w:t>
      </w:r>
      <w:r>
        <w:rPr>
          <w:rFonts w:ascii="Cambria" w:cs="Cambria" w:eastAsia="Cambria" w:hAnsi="Cambria"/>
          <w:sz w:val="24"/>
          <w:szCs w:val="24"/>
          <w:color w:val="auto"/>
        </w:rPr>
        <w:t>) prend les manuscrits en charge une fois que leur contenu scientifique a été validé et que les fichiers ont été soigneusement revus et corrigés. Les épreuves ne peuvent servir à modifier le texte ni à le corriger. L’éditeur se charge des</w:t>
      </w:r>
    </w:p>
    <w:p>
      <w:pPr>
        <w:spacing w:after="0" w:line="28" w:lineRule="exact"/>
        <w:rPr>
          <w:rFonts w:ascii="Cambria" w:cs="Cambria" w:eastAsia="Cambria" w:hAnsi="Cambria"/>
          <w:sz w:val="24"/>
          <w:szCs w:val="24"/>
          <w:color w:val="auto"/>
        </w:rPr>
      </w:pPr>
    </w:p>
    <w:p>
      <w:pPr>
        <w:jc w:val="both"/>
        <w:spacing w:after="0" w:line="231" w:lineRule="auto"/>
        <w:rPr>
          <w:rFonts w:ascii="Cambria" w:cs="Cambria" w:eastAsia="Cambria" w:hAnsi="Cambria"/>
          <w:sz w:val="24"/>
          <w:szCs w:val="24"/>
          <w:color w:val="auto"/>
        </w:rPr>
      </w:pPr>
      <w:r>
        <w:rPr>
          <w:rFonts w:ascii="Cambria" w:cs="Cambria" w:eastAsia="Cambria" w:hAnsi="Cambria"/>
          <w:sz w:val="24"/>
          <w:szCs w:val="24"/>
          <w:color w:val="auto"/>
        </w:rPr>
        <w:t>aspects matériels de la publication et de la mise en page. Il s’occupe de la production, la diffusion</w:t>
      </w:r>
      <w:r>
        <w:rPr>
          <w:rFonts w:ascii="Cambria" w:cs="Cambria" w:eastAsia="Cambria" w:hAnsi="Cambria"/>
          <w:sz w:val="24"/>
          <w:szCs w:val="24"/>
          <w:b w:val="1"/>
          <w:bCs w:val="1"/>
          <w:color w:val="auto"/>
        </w:rPr>
        <w:t>,</w:t>
      </w:r>
      <w:r>
        <w:rPr>
          <w:rFonts w:ascii="Cambria" w:cs="Cambria" w:eastAsia="Cambria" w:hAnsi="Cambria"/>
          <w:sz w:val="24"/>
          <w:szCs w:val="24"/>
          <w:color w:val="auto"/>
        </w:rPr>
        <w:t xml:space="preserve"> la distribution et la vente (en libraire ou en ligne). Une fois le numéro paru, le coordinateur reçoit un numéro papier et des tirés à part numériques pour chaque auteur.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wp:posOffset>
            </wp:positionH>
            <wp:positionV relativeFrom="paragraph">
              <wp:posOffset>2481580</wp:posOffset>
            </wp:positionV>
            <wp:extent cx="1828800"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828800" cy="63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2" w:lineRule="exact"/>
        <w:rPr>
          <w:sz w:val="24"/>
          <w:szCs w:val="24"/>
          <w:color w:val="auto"/>
        </w:rPr>
      </w:pPr>
    </w:p>
    <w:p>
      <w:pPr>
        <w:ind w:firstLine="6"/>
        <w:spacing w:after="0" w:line="190" w:lineRule="auto"/>
        <w:tabs>
          <w:tab w:leader="none" w:pos="141" w:val="left"/>
        </w:tabs>
        <w:numPr>
          <w:ilvl w:val="0"/>
          <w:numId w:val="2"/>
        </w:numPr>
        <w:rPr>
          <w:rFonts w:ascii="Cambria" w:cs="Cambria" w:eastAsia="Cambria" w:hAnsi="Cambria"/>
          <w:sz w:val="32"/>
          <w:szCs w:val="32"/>
          <w:color w:val="auto"/>
          <w:vertAlign w:val="superscript"/>
        </w:rPr>
      </w:pPr>
      <w:r>
        <w:rPr>
          <w:rFonts w:ascii="Cambria" w:cs="Cambria" w:eastAsia="Cambria" w:hAnsi="Cambria"/>
          <w:sz w:val="24"/>
          <w:szCs w:val="24"/>
          <w:color w:val="auto"/>
        </w:rPr>
        <w:t>Pour assurer le bon fonctionnement du processus d’évaluation par les pairs, il est important de protéger l’anonymat des auteurs vis-­‐à-­‐vis des évaluateurs et vice versa.</w:t>
      </w:r>
    </w:p>
    <w:p>
      <w:pPr>
        <w:sectPr>
          <w:pgSz w:w="11900" w:h="16840" w:orient="portrait"/>
          <w:cols w:equalWidth="0" w:num="1">
            <w:col w:w="9080"/>
          </w:cols>
          <w:pgMar w:left="1420" w:top="1440" w:right="1400" w:bottom="971"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1549400</wp:posOffset>
            </wp:positionH>
            <wp:positionV relativeFrom="page">
              <wp:posOffset>452755</wp:posOffset>
            </wp:positionV>
            <wp:extent cx="4470400" cy="10528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4470400" cy="10528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100"/>
        <w:spacing w:after="0"/>
        <w:rPr>
          <w:sz w:val="20"/>
          <w:szCs w:val="20"/>
          <w:color w:val="auto"/>
        </w:rPr>
      </w:pPr>
      <w:r>
        <w:rPr>
          <w:rFonts w:ascii="Cambria" w:cs="Cambria" w:eastAsia="Cambria" w:hAnsi="Cambria"/>
          <w:sz w:val="24"/>
          <w:szCs w:val="24"/>
          <w:b w:val="1"/>
          <w:bCs w:val="1"/>
          <w:color w:val="auto"/>
        </w:rPr>
        <w:t xml:space="preserve">Délais </w:t>
      </w:r>
      <w:r>
        <w:rPr>
          <w:rFonts w:ascii="Cambria" w:cs="Cambria" w:eastAsia="Cambria" w:hAnsi="Cambria"/>
          <w:sz w:val="24"/>
          <w:szCs w:val="24"/>
          <w:color w:val="auto"/>
        </w:rPr>
        <w:t>:</w:t>
      </w:r>
    </w:p>
    <w:p>
      <w:pPr>
        <w:spacing w:after="0" w:line="185" w:lineRule="exact"/>
        <w:rPr>
          <w:sz w:val="20"/>
          <w:szCs w:val="20"/>
          <w:color w:val="auto"/>
        </w:rPr>
      </w:pPr>
    </w:p>
    <w:p>
      <w:pPr>
        <w:jc w:val="both"/>
        <w:ind w:left="100" w:right="100"/>
        <w:spacing w:after="0" w:line="232" w:lineRule="auto"/>
        <w:rPr>
          <w:sz w:val="20"/>
          <w:szCs w:val="20"/>
          <w:color w:val="auto"/>
        </w:rPr>
      </w:pPr>
      <w:r>
        <w:rPr>
          <w:rFonts w:ascii="Cambria" w:cs="Cambria" w:eastAsia="Cambria" w:hAnsi="Cambria"/>
          <w:sz w:val="24"/>
          <w:szCs w:val="24"/>
          <w:color w:val="auto"/>
        </w:rPr>
        <w:t>Le coordinateur soumet un projet de numéro à l’éditeur scientifique sur base de résumés ou d’un appel programmatique. L’éditeur scientifique consulte son comité de rédaction et donne dans le mois une réponse. Une fois le projet approuvé et inséré dans le calendrier des publications, les étapes sont les suivantes (en fonction de l’état d’avancement du projet) :</w:t>
      </w:r>
    </w:p>
    <w:p>
      <w:pPr>
        <w:spacing w:after="0" w:line="108" w:lineRule="exact"/>
        <w:rPr>
          <w:sz w:val="20"/>
          <w:szCs w:val="20"/>
          <w:color w:val="auto"/>
        </w:rPr>
      </w:pPr>
    </w:p>
    <w:tbl>
      <w:tblPr>
        <w:tblLayout w:type="fixed"/>
        <w:tblInd w:w="10" w:type="dxa"/>
        <w:tblCellMar>
          <w:top w:w="0" w:type="dxa"/>
          <w:left w:w="0" w:type="dxa"/>
          <w:bottom w:w="0" w:type="dxa"/>
          <w:right w:w="0" w:type="dxa"/>
        </w:tblCellMar>
      </w:tblPr>
      <w:tr>
        <w:trPr>
          <w:trHeight w:val="388"/>
        </w:trPr>
        <w:tc>
          <w:tcPr>
            <w:tcW w:w="5100" w:type="dxa"/>
            <w:vAlign w:val="bottom"/>
            <w:tcBorders>
              <w:top w:val="single" w:sz="8" w:color="auto"/>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Le coordinateur rassemble les textes et les fait</w:t>
            </w:r>
          </w:p>
        </w:tc>
        <w:tc>
          <w:tcPr>
            <w:tcW w:w="4200" w:type="dxa"/>
            <w:vAlign w:val="bottom"/>
            <w:tcBorders>
              <w:top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Deux   mois   sont   donnés   aux</w:t>
            </w:r>
          </w:p>
        </w:tc>
      </w:tr>
      <w:tr>
        <w:trPr>
          <w:trHeight w:val="316"/>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évaluer en double aveugle (</w:t>
            </w:r>
            <w:r>
              <w:rPr>
                <w:rFonts w:ascii="Cambria" w:cs="Cambria" w:eastAsia="Cambria" w:hAnsi="Cambria"/>
                <w:sz w:val="24"/>
                <w:szCs w:val="24"/>
                <w:i w:val="1"/>
                <w:iCs w:val="1"/>
                <w:color w:val="auto"/>
              </w:rPr>
              <w:t>peer-­‐review</w:t>
            </w:r>
            <w:r>
              <w:rPr>
                <w:rFonts w:ascii="Cambria" w:cs="Cambria" w:eastAsia="Cambria" w:hAnsi="Cambria"/>
                <w:sz w:val="24"/>
                <w:szCs w:val="24"/>
                <w:color w:val="auto"/>
              </w:rPr>
              <w:t>)</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évaluateurs</w:t>
            </w:r>
          </w:p>
        </w:tc>
      </w:tr>
      <w:tr>
        <w:trPr>
          <w:trHeight w:val="107"/>
        </w:trPr>
        <w:tc>
          <w:tcPr>
            <w:tcW w:w="5100" w:type="dxa"/>
            <w:vAlign w:val="bottom"/>
            <w:tcBorders>
              <w:left w:val="single" w:sz="8" w:color="auto"/>
              <w:bottom w:val="single" w:sz="8" w:color="auto"/>
              <w:right w:val="single" w:sz="8" w:color="auto"/>
            </w:tcBorders>
          </w:tcPr>
          <w:p>
            <w:pPr>
              <w:spacing w:after="0"/>
              <w:rPr>
                <w:sz w:val="9"/>
                <w:szCs w:val="9"/>
                <w:color w:val="auto"/>
              </w:rPr>
            </w:pPr>
          </w:p>
        </w:tc>
        <w:tc>
          <w:tcPr>
            <w:tcW w:w="4200" w:type="dxa"/>
            <w:vAlign w:val="bottom"/>
            <w:tcBorders>
              <w:bottom w:val="single" w:sz="8" w:color="auto"/>
              <w:right w:val="single" w:sz="8" w:color="auto"/>
            </w:tcBorders>
          </w:tcPr>
          <w:p>
            <w:pPr>
              <w:spacing w:after="0"/>
              <w:rPr>
                <w:sz w:val="9"/>
                <w:szCs w:val="9"/>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Le  coordinateur  envoie  les  notifications</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Les auteurs disposent d’un mois pour</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d’acceptation aux auteurs et les remarques</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remettre leurs textes corrigés et mis</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éventuelles des relecteurs ainsi que la feuille de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en page selon la feuille de style</w:t>
            </w: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style de la revue</w:t>
            </w:r>
          </w:p>
        </w:tc>
        <w:tc>
          <w:tcPr>
            <w:tcW w:w="4200" w:type="dxa"/>
            <w:vAlign w:val="bottom"/>
            <w:tcBorders>
              <w:right w:val="single" w:sz="8" w:color="auto"/>
            </w:tcBorders>
          </w:tcPr>
          <w:p>
            <w:pPr>
              <w:spacing w:after="0"/>
              <w:rPr>
                <w:sz w:val="24"/>
                <w:szCs w:val="24"/>
                <w:color w:val="auto"/>
              </w:rPr>
            </w:pPr>
          </w:p>
        </w:tc>
      </w:tr>
      <w:tr>
        <w:trPr>
          <w:trHeight w:val="126"/>
        </w:trPr>
        <w:tc>
          <w:tcPr>
            <w:tcW w:w="5100" w:type="dxa"/>
            <w:vAlign w:val="bottom"/>
            <w:tcBorders>
              <w:left w:val="single" w:sz="8" w:color="auto"/>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Le coordinateur réunit le manuscrit, qui doit</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Le coordinateur dispose d’un mois</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parvenir à l’éditeur scientifique sous la forme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pour envoyer le manuscrit à l’éditeur</w:t>
            </w: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 publiable en l’état »</w:t>
            </w:r>
          </w:p>
        </w:tc>
        <w:tc>
          <w:tcPr>
            <w:tcW w:w="4200" w:type="dxa"/>
            <w:vAlign w:val="bottom"/>
            <w:tcBorders>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scientifique</w:t>
            </w:r>
          </w:p>
        </w:tc>
      </w:tr>
      <w:tr>
        <w:trPr>
          <w:trHeight w:val="126"/>
        </w:trPr>
        <w:tc>
          <w:tcPr>
            <w:tcW w:w="5100" w:type="dxa"/>
            <w:vAlign w:val="bottom"/>
            <w:tcBorders>
              <w:left w:val="single" w:sz="8" w:color="auto"/>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L’éditeur scientifique relit le manuscrit pour</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L’éditeur scientifique dispose de deux</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s’assurer du respect des normes de la revue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mois pour relire le manuscrit, en ce</w:t>
            </w: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(ponctuation, typographie, citations, titraille,</w:t>
            </w:r>
          </w:p>
        </w:tc>
        <w:tc>
          <w:tcPr>
            <w:tcW w:w="4200" w:type="dxa"/>
            <w:vAlign w:val="bottom"/>
            <w:tcBorders>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compris  un  éventuel  renvoi  au</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table des matières, couverture). S’il estime que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coordinateur</w:t>
            </w: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les normes n’ont pas été respectées, l’éditeur</w:t>
            </w:r>
          </w:p>
        </w:tc>
        <w:tc>
          <w:tcPr>
            <w:tcW w:w="4200" w:type="dxa"/>
            <w:vAlign w:val="bottom"/>
            <w:tcBorders>
              <w:right w:val="single" w:sz="8" w:color="auto"/>
            </w:tcBorders>
          </w:tcPr>
          <w:p>
            <w:pPr>
              <w:spacing w:after="0"/>
              <w:rPr>
                <w:sz w:val="24"/>
                <w:szCs w:val="24"/>
                <w:color w:val="auto"/>
              </w:rPr>
            </w:pP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scientifique se réserve le droit de renvoyer le</w:t>
            </w:r>
          </w:p>
        </w:tc>
        <w:tc>
          <w:tcPr>
            <w:tcW w:w="4200" w:type="dxa"/>
            <w:vAlign w:val="bottom"/>
            <w:tcBorders>
              <w:right w:val="single" w:sz="8" w:color="auto"/>
            </w:tcBorders>
          </w:tcPr>
          <w:p>
            <w:pPr>
              <w:spacing w:after="0"/>
              <w:rPr>
                <w:sz w:val="24"/>
                <w:szCs w:val="24"/>
                <w:color w:val="auto"/>
              </w:rPr>
            </w:pP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manuscrit pour une nouvelle correction</w:t>
            </w:r>
          </w:p>
        </w:tc>
        <w:tc>
          <w:tcPr>
            <w:tcW w:w="4200" w:type="dxa"/>
            <w:vAlign w:val="bottom"/>
            <w:tcBorders>
              <w:right w:val="single" w:sz="8" w:color="auto"/>
            </w:tcBorders>
          </w:tcPr>
          <w:p>
            <w:pPr>
              <w:spacing w:after="0"/>
              <w:rPr>
                <w:sz w:val="24"/>
                <w:szCs w:val="24"/>
                <w:color w:val="auto"/>
              </w:rPr>
            </w:pPr>
          </w:p>
        </w:tc>
      </w:tr>
      <w:tr>
        <w:trPr>
          <w:trHeight w:val="121"/>
        </w:trPr>
        <w:tc>
          <w:tcPr>
            <w:tcW w:w="5100" w:type="dxa"/>
            <w:vAlign w:val="bottom"/>
            <w:tcBorders>
              <w:left w:val="single" w:sz="8" w:color="auto"/>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L’éditeur scientifique transmet à l’éditeur le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Les auteurs disposent d’entre deux et</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manuscrit pour mise en page et impression de</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trois semaines pour relire leur texte et</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l’épreuve. Le coordinateur envoie les épreuves</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signaler d’éventuelles coquilles</w:t>
            </w:r>
          </w:p>
        </w:tc>
      </w:tr>
      <w:tr>
        <w:trPr>
          <w:trHeight w:val="260"/>
        </w:trPr>
        <w:tc>
          <w:tcPr>
            <w:tcW w:w="5100" w:type="dxa"/>
            <w:vAlign w:val="bottom"/>
            <w:tcBorders>
              <w:left w:val="single" w:sz="8" w:color="auto"/>
              <w:right w:val="single" w:sz="8" w:color="auto"/>
            </w:tcBorders>
          </w:tcPr>
          <w:p>
            <w:pPr>
              <w:ind w:left="100"/>
              <w:spacing w:after="0" w:line="260" w:lineRule="exact"/>
              <w:rPr>
                <w:sz w:val="20"/>
                <w:szCs w:val="20"/>
                <w:color w:val="auto"/>
              </w:rPr>
            </w:pPr>
            <w:r>
              <w:rPr>
                <w:rFonts w:ascii="Cambria" w:cs="Cambria" w:eastAsia="Cambria" w:hAnsi="Cambria"/>
                <w:sz w:val="24"/>
                <w:szCs w:val="24"/>
                <w:color w:val="auto"/>
              </w:rPr>
              <w:t>aux auteurs pour corriger les coquilles ou les</w:t>
            </w:r>
          </w:p>
        </w:tc>
        <w:tc>
          <w:tcPr>
            <w:tcW w:w="4200" w:type="dxa"/>
            <w:vAlign w:val="bottom"/>
            <w:tcBorders>
              <w:right w:val="single" w:sz="8" w:color="auto"/>
            </w:tcBorders>
          </w:tcPr>
          <w:p>
            <w:pPr>
              <w:spacing w:after="0"/>
              <w:rPr>
                <w:sz w:val="22"/>
                <w:szCs w:val="22"/>
                <w:color w:val="auto"/>
              </w:rPr>
            </w:pP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 xml:space="preserve">fautes  ortho-­‐typographiques  restantes,  </w:t>
            </w:r>
            <w:r>
              <w:rPr>
                <w:rFonts w:ascii="Cambria" w:cs="Cambria" w:eastAsia="Cambria" w:hAnsi="Cambria"/>
                <w:sz w:val="24"/>
                <w:szCs w:val="24"/>
                <w:b w:val="1"/>
                <w:bCs w:val="1"/>
                <w:color w:val="auto"/>
              </w:rPr>
              <w:t>à</w:t>
            </w:r>
          </w:p>
        </w:tc>
        <w:tc>
          <w:tcPr>
            <w:tcW w:w="4200" w:type="dxa"/>
            <w:vAlign w:val="bottom"/>
            <w:tcBorders>
              <w:right w:val="single" w:sz="8" w:color="auto"/>
            </w:tcBorders>
          </w:tcPr>
          <w:p>
            <w:pPr>
              <w:spacing w:after="0"/>
              <w:rPr>
                <w:sz w:val="24"/>
                <w:szCs w:val="24"/>
                <w:color w:val="auto"/>
              </w:rPr>
            </w:pPr>
          </w:p>
        </w:tc>
      </w:tr>
      <w:tr>
        <w:trPr>
          <w:trHeight w:val="320"/>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b w:val="1"/>
                <w:bCs w:val="1"/>
                <w:color w:val="auto"/>
              </w:rPr>
              <w:t>l’exception de toute correction d’auteur</w:t>
            </w:r>
          </w:p>
        </w:tc>
        <w:tc>
          <w:tcPr>
            <w:tcW w:w="4200" w:type="dxa"/>
            <w:vAlign w:val="bottom"/>
            <w:tcBorders>
              <w:right w:val="single" w:sz="8" w:color="auto"/>
            </w:tcBorders>
          </w:tcPr>
          <w:p>
            <w:pPr>
              <w:spacing w:after="0"/>
              <w:rPr>
                <w:sz w:val="24"/>
                <w:szCs w:val="24"/>
                <w:color w:val="auto"/>
              </w:rPr>
            </w:pPr>
          </w:p>
        </w:tc>
      </w:tr>
      <w:tr>
        <w:trPr>
          <w:trHeight w:val="108"/>
        </w:trPr>
        <w:tc>
          <w:tcPr>
            <w:tcW w:w="5100" w:type="dxa"/>
            <w:vAlign w:val="bottom"/>
            <w:tcBorders>
              <w:left w:val="single" w:sz="8" w:color="auto"/>
              <w:bottom w:val="single" w:sz="8" w:color="auto"/>
              <w:right w:val="single" w:sz="8" w:color="auto"/>
            </w:tcBorders>
          </w:tcPr>
          <w:p>
            <w:pPr>
              <w:spacing w:after="0"/>
              <w:rPr>
                <w:sz w:val="9"/>
                <w:szCs w:val="9"/>
                <w:color w:val="auto"/>
              </w:rPr>
            </w:pPr>
          </w:p>
        </w:tc>
        <w:tc>
          <w:tcPr>
            <w:tcW w:w="4200" w:type="dxa"/>
            <w:vAlign w:val="bottom"/>
            <w:tcBorders>
              <w:bottom w:val="single" w:sz="8" w:color="auto"/>
              <w:right w:val="single" w:sz="8" w:color="auto"/>
            </w:tcBorders>
          </w:tcPr>
          <w:p>
            <w:pPr>
              <w:spacing w:after="0"/>
              <w:rPr>
                <w:sz w:val="9"/>
                <w:szCs w:val="9"/>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Le  coordinateur  rassemble  les  éventuelles</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Cette  dernière  étape  ne  doit  pas</w:t>
            </w: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corrections et les transmet à l’éditeur. Une fois</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dépasser les deux semaines.</w:t>
            </w: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ces corrections intégrées, l’éditeur envoie la</w:t>
            </w:r>
          </w:p>
        </w:tc>
        <w:tc>
          <w:tcPr>
            <w:tcW w:w="4200" w:type="dxa"/>
            <w:vAlign w:val="bottom"/>
            <w:tcBorders>
              <w:right w:val="single" w:sz="8" w:color="auto"/>
            </w:tcBorders>
          </w:tcPr>
          <w:p>
            <w:pPr>
              <w:spacing w:after="0"/>
              <w:rPr>
                <w:sz w:val="24"/>
                <w:szCs w:val="24"/>
                <w:color w:val="auto"/>
              </w:rPr>
            </w:pP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dernière  mouture  du  manuscrit  pour  la</w:t>
            </w:r>
          </w:p>
        </w:tc>
        <w:tc>
          <w:tcPr>
            <w:tcW w:w="4200" w:type="dxa"/>
            <w:vAlign w:val="bottom"/>
            <w:tcBorders>
              <w:right w:val="single" w:sz="8" w:color="auto"/>
            </w:tcBorders>
          </w:tcPr>
          <w:p>
            <w:pPr>
              <w:spacing w:after="0"/>
              <w:rPr>
                <w:sz w:val="24"/>
                <w:szCs w:val="24"/>
                <w:color w:val="auto"/>
              </w:rPr>
            </w:pPr>
          </w:p>
        </w:tc>
      </w:tr>
      <w:tr>
        <w:trPr>
          <w:trHeight w:val="283"/>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w w:val="97"/>
              </w:rPr>
              <w:t>signature du bon-­‐à-­‐tirer par le coordinateur et</w:t>
            </w:r>
          </w:p>
        </w:tc>
        <w:tc>
          <w:tcPr>
            <w:tcW w:w="4200" w:type="dxa"/>
            <w:vAlign w:val="bottom"/>
            <w:tcBorders>
              <w:right w:val="single" w:sz="8" w:color="auto"/>
            </w:tcBorders>
          </w:tcPr>
          <w:p>
            <w:pPr>
              <w:spacing w:after="0"/>
              <w:rPr>
                <w:sz w:val="24"/>
                <w:szCs w:val="24"/>
                <w:color w:val="auto"/>
              </w:rPr>
            </w:pPr>
          </w:p>
        </w:tc>
      </w:tr>
      <w:tr>
        <w:trPr>
          <w:trHeight w:val="278"/>
        </w:trPr>
        <w:tc>
          <w:tcPr>
            <w:tcW w:w="5100" w:type="dxa"/>
            <w:vAlign w:val="bottom"/>
            <w:tcBorders>
              <w:left w:val="single" w:sz="8" w:color="auto"/>
              <w:right w:val="single" w:sz="8" w:color="auto"/>
            </w:tcBorders>
          </w:tcPr>
          <w:p>
            <w:pPr>
              <w:ind w:left="100"/>
              <w:spacing w:after="0" w:line="278" w:lineRule="exact"/>
              <w:rPr>
                <w:sz w:val="20"/>
                <w:szCs w:val="20"/>
                <w:color w:val="auto"/>
              </w:rPr>
            </w:pPr>
            <w:r>
              <w:rPr>
                <w:rFonts w:ascii="Cambria" w:cs="Cambria" w:eastAsia="Cambria" w:hAnsi="Cambria"/>
                <w:sz w:val="24"/>
                <w:szCs w:val="24"/>
                <w:color w:val="auto"/>
              </w:rPr>
              <w:t>l’éditeur scientifique</w:t>
            </w:r>
          </w:p>
        </w:tc>
        <w:tc>
          <w:tcPr>
            <w:tcW w:w="4200" w:type="dxa"/>
            <w:vAlign w:val="bottom"/>
            <w:tcBorders>
              <w:right w:val="single" w:sz="8" w:color="auto"/>
            </w:tcBorders>
          </w:tcPr>
          <w:p>
            <w:pPr>
              <w:spacing w:after="0"/>
              <w:rPr>
                <w:sz w:val="24"/>
                <w:szCs w:val="24"/>
                <w:color w:val="auto"/>
              </w:rPr>
            </w:pPr>
          </w:p>
        </w:tc>
      </w:tr>
      <w:tr>
        <w:trPr>
          <w:trHeight w:val="126"/>
        </w:trPr>
        <w:tc>
          <w:tcPr>
            <w:tcW w:w="5100" w:type="dxa"/>
            <w:vAlign w:val="bottom"/>
            <w:tcBorders>
              <w:left w:val="single" w:sz="8" w:color="auto"/>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r>
      <w:tr>
        <w:trPr>
          <w:trHeight w:val="387"/>
        </w:trPr>
        <w:tc>
          <w:tcPr>
            <w:tcW w:w="5100" w:type="dxa"/>
            <w:vAlign w:val="bottom"/>
            <w:tcBorders>
              <w:left w:val="single" w:sz="8" w:color="auto"/>
              <w:right w:val="single" w:sz="8" w:color="auto"/>
            </w:tcBorders>
          </w:tcPr>
          <w:p>
            <w:pPr>
              <w:ind w:left="100"/>
              <w:spacing w:after="0"/>
              <w:rPr>
                <w:sz w:val="20"/>
                <w:szCs w:val="20"/>
                <w:color w:val="auto"/>
              </w:rPr>
            </w:pPr>
            <w:r>
              <w:rPr>
                <w:rFonts w:ascii="Cambria" w:cs="Cambria" w:eastAsia="Cambria" w:hAnsi="Cambria"/>
                <w:sz w:val="24"/>
                <w:szCs w:val="24"/>
                <w:color w:val="auto"/>
              </w:rPr>
              <w:t>L’éditeur se livre aux travaux d’impression</w:t>
            </w:r>
          </w:p>
        </w:tc>
        <w:tc>
          <w:tcPr>
            <w:tcW w:w="4200" w:type="dxa"/>
            <w:vAlign w:val="bottom"/>
            <w:tcBorders>
              <w:right w:val="single" w:sz="8" w:color="auto"/>
            </w:tcBorders>
          </w:tcPr>
          <w:p>
            <w:pPr>
              <w:ind w:left="100"/>
              <w:spacing w:after="0"/>
              <w:rPr>
                <w:sz w:val="20"/>
                <w:szCs w:val="20"/>
                <w:color w:val="auto"/>
              </w:rPr>
            </w:pPr>
            <w:r>
              <w:rPr>
                <w:rFonts w:ascii="Cambria" w:cs="Cambria" w:eastAsia="Cambria" w:hAnsi="Cambria"/>
                <w:sz w:val="24"/>
                <w:szCs w:val="24"/>
                <w:color w:val="auto"/>
              </w:rPr>
              <w:t>Ce processus prend à peu près 1 mois</w:t>
            </w:r>
          </w:p>
        </w:tc>
      </w:tr>
      <w:tr>
        <w:trPr>
          <w:trHeight w:val="126"/>
        </w:trPr>
        <w:tc>
          <w:tcPr>
            <w:tcW w:w="5100" w:type="dxa"/>
            <w:vAlign w:val="bottom"/>
            <w:tcBorders>
              <w:left w:val="single" w:sz="8" w:color="auto"/>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r>
    </w:tbl>
    <w:p>
      <w:pPr>
        <w:spacing w:after="0" w:line="159" w:lineRule="exact"/>
        <w:rPr>
          <w:sz w:val="20"/>
          <w:szCs w:val="20"/>
          <w:color w:val="auto"/>
        </w:rPr>
      </w:pPr>
    </w:p>
    <w:p>
      <w:pPr>
        <w:jc w:val="both"/>
        <w:ind w:left="100" w:right="100"/>
        <w:spacing w:after="0" w:line="220" w:lineRule="auto"/>
        <w:rPr>
          <w:sz w:val="20"/>
          <w:szCs w:val="20"/>
          <w:color w:val="auto"/>
        </w:rPr>
      </w:pPr>
      <w:r>
        <w:rPr>
          <w:rFonts w:ascii="Cambria" w:cs="Cambria" w:eastAsia="Cambria" w:hAnsi="Cambria"/>
          <w:sz w:val="24"/>
          <w:szCs w:val="24"/>
          <w:color w:val="auto"/>
        </w:rPr>
        <w:t>Par exemple, si le coordinateur rassemble les textes en septembre, et que le timing des étapes est scrupuleusement respecté, le numéro paraitra au mois de mai.</w:t>
      </w:r>
    </w:p>
    <w:sectPr>
      <w:pgSz w:w="11900" w:h="16840" w:orient="portrait"/>
      <w:cols w:equalWidth="0" w:num="1">
        <w:col w:w="9280"/>
      </w:cols>
      <w:pgMar w:left="1320" w:top="1440" w:right="13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3"/>
    </w:lvl>
  </w:abstractNum>
  <w:abstractNum w:abstractNumId="1">
    <w:nsid w:val="66334873"/>
    <w:multiLevelType w:val="hybridMultilevel"/>
    <w:lvl w:ilvl="0">
      <w:lvlJc w:val="left"/>
      <w:lvlText w:val="1"/>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2018-03-25T10:20:21Z</dcterms:created>
  <dcterms:modified xsi:type="dcterms:W3CDTF">2018-03-25T10:20:21Z</dcterms:modified>
</cp:coreProperties>
</file>